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3" w:rsidRPr="00C33BB3" w:rsidRDefault="009D328E" w:rsidP="00C3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33BB3"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Додаток 1</w:t>
      </w:r>
    </w:p>
    <w:p w:rsidR="00C33BB3" w:rsidRPr="00C33BB3" w:rsidRDefault="00C33BB3" w:rsidP="00C33B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наказом керівника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апарату 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зятинського </w:t>
      </w:r>
      <w:proofErr w:type="spellStart"/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міськрайонног</w:t>
      </w:r>
      <w:proofErr w:type="spellEnd"/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  </w:t>
      </w:r>
    </w:p>
    <w:p w:rsidR="00E45158" w:rsidRDefault="00E45158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Вінницької області від </w:t>
      </w:r>
      <w:r w:rsidR="008D1F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.09.2021 №</w:t>
      </w:r>
      <w:r w:rsidR="008D1F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-к</w:t>
      </w:r>
    </w:p>
    <w:p w:rsidR="00C33BB3" w:rsidRPr="00C33BB3" w:rsidRDefault="00C33BB3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                 </w:t>
      </w:r>
    </w:p>
    <w:p w:rsidR="00E45158" w:rsidRPr="00F80F2D" w:rsidRDefault="00C33BB3" w:rsidP="00F80F2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УМОВИ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:rsidR="00C33BB3" w:rsidRPr="00C33BB3" w:rsidRDefault="004D3545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 зайняття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9D3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вакантної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осади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державної служби категорії «В» – </w:t>
      </w:r>
    </w:p>
    <w:p w:rsidR="00C33BB3" w:rsidRPr="00C33BB3" w:rsidRDefault="009D328E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секретаря судового засідання </w:t>
      </w:r>
      <w:r w:rsidR="00E45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Козятинського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міськ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районного</w:t>
      </w:r>
      <w:proofErr w:type="spellEnd"/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суду Вінницької області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948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797"/>
        <w:gridCol w:w="22"/>
        <w:gridCol w:w="6231"/>
      </w:tblGrid>
      <w:tr w:rsidR="00C33BB3" w:rsidRPr="00C33BB3" w:rsidTr="00617145">
        <w:trPr>
          <w:trHeight w:val="252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28E" w:rsidRDefault="009D328E" w:rsidP="009D328E">
            <w:pPr>
              <w:pStyle w:val="6167"/>
              <w:widowControl w:val="0"/>
              <w:spacing w:before="0" w:beforeAutospacing="0" w:after="0" w:afterAutospacing="0" w:line="272" w:lineRule="atLeast"/>
              <w:jc w:val="both"/>
            </w:pPr>
            <w:r>
              <w:rPr>
                <w:color w:val="000000"/>
              </w:rPr>
              <w:t>Секретар судового засідання: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Забезпечує фіксування судового засідання технічними засобами та засобами ВКЗ згідно з Інструкцією про порядок роботи з технічними засобами фіксування судового процесу (судового засідання) та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відеоконференції</w:t>
            </w:r>
            <w:proofErr w:type="spellEnd"/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судового засідання (кримінального провадження).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судові виклики  у судових справах, які знаходяться у провадженні судді, оформляє заявки до органів внутрішніх справ, адміністрації місць ув’язнення про доставку до суду затриманих та обвинувачених осіб, готує копії відповідних судових рішень,   оформляє  та розміщує списк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справ, призначених до розгляду.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 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(журнал)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судового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провадженні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копій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беруть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фактично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присутніми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судовому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розгляді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вироку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засудженому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виправданому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Кримінально-процесуального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кодексу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викликані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зазначає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повістках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Готує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виконавчі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справах, за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негайне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Оформляє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справ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канцелярії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автоматизованій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судової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суддею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винесення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</w:p>
          <w:p w:rsidR="009D328E" w:rsidRPr="00D27105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доручення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перелічені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витікають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наказі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вказівок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3BB3" w:rsidRPr="00C33BB3" w:rsidRDefault="00C33BB3" w:rsidP="009D328E">
            <w:pPr>
              <w:pStyle w:val="a6"/>
              <w:widowControl w:val="0"/>
              <w:spacing w:before="60" w:beforeAutospacing="0" w:after="60" w:afterAutospacing="0"/>
              <w:ind w:left="57" w:right="57"/>
              <w:jc w:val="both"/>
            </w:pPr>
          </w:p>
        </w:tc>
      </w:tr>
      <w:tr w:rsidR="00C33BB3" w:rsidRPr="00C33BB3" w:rsidTr="00617145">
        <w:trPr>
          <w:trHeight w:val="27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9D328E" w:rsidRDefault="00C33BB3" w:rsidP="009D328E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посадовий оклад – 4 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5E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 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C33BB3" w:rsidRPr="00C33BB3" w:rsidRDefault="00C33BB3" w:rsidP="00C33BB3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33BB3" w:rsidRPr="00C33BB3" w:rsidTr="00617145">
        <w:trPr>
          <w:trHeight w:val="88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Безстроково</w:t>
            </w:r>
            <w:r w:rsidR="00C33BB3"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1) заява про участь у конкурсі із зазначенням основних мотивів щодо зайняття посади за формою згідно з додатком 2 до П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орядку проведення конкурсу на зайняття посад державної служби,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затвердженого постановою Кабінету Міністрів України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 25 березня 2016 року № 246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(далі – Порядок); 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2) резюме за формою згідно з додатком 2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1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Порядку, в якому обов’язково зазначається така інформація: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 кандидата;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Подача додатків до заяви не є обов’язковою.</w:t>
            </w:r>
          </w:p>
          <w:p w:rsidR="0039166E" w:rsidRPr="00C33BB3" w:rsidRDefault="0039166E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 </w:t>
            </w:r>
            <w:r w:rsidRP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Копія Державного сертифіката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підтверджує рівень володіння державною мовою,визначений Національною комісією зі стандартів державної мови</w:t>
            </w:r>
            <w:r w:rsidR="0031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Особа, яка виявила бажання в</w:t>
            </w:r>
            <w:r w:rsidR="0004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зя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електронні документи, що подаються для участі у конкурсі, накладається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кваліфіковний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електронний підпис кандидата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8D1FAD">
            <w:pPr>
              <w:widowControl w:val="0"/>
              <w:shd w:val="clear" w:color="auto" w:fill="FFFFFF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для участі в конкурсі приймається 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="008D1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год.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30 хв.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D1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05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D1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жовтня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2021 року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включно, в електронній формі через Єдиний портал вакансій державної служби за адресою: https://www.career.gov.ua.</w:t>
            </w:r>
          </w:p>
        </w:tc>
      </w:tr>
      <w:tr w:rsidR="00C33BB3" w:rsidRPr="00C33BB3" w:rsidTr="00617145">
        <w:trPr>
          <w:trHeight w:val="92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заміщення посад державної служби</w:t>
            </w:r>
          </w:p>
        </w:tc>
      </w:tr>
      <w:tr w:rsidR="00C33BB3" w:rsidRPr="00C33BB3" w:rsidTr="00617145">
        <w:trPr>
          <w:trHeight w:val="151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Дата і час початку проведення тестування кандидатів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або спосіб проведення тестування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8D1FAD" w:rsidP="000419B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жовтня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2021 року о 10 год. 00 хв. 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3C4AB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E45158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22100, вул. Грушевського,64 м. Козятин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тестування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0419BC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 Вінницька область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0419BC" w:rsidRPr="00C33BB3" w:rsidRDefault="000419BC" w:rsidP="000419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33BB3" w:rsidRPr="00C33BB3" w:rsidTr="00617145">
        <w:trPr>
          <w:trHeight w:val="1381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9BC" w:rsidRPr="00932A41" w:rsidRDefault="008D1FAD" w:rsidP="000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Ніколайчук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Миколаївна 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(043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2-40-66</w:t>
            </w:r>
          </w:p>
          <w:p w:rsidR="00C33BB3" w:rsidRPr="00C33BB3" w:rsidRDefault="000419BC" w:rsidP="000419BC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2E64">
              <w:rPr>
                <w:color w:val="000000"/>
                <w:sz w:val="24"/>
                <w:u w:val="single"/>
                <w:lang w:val="en-US"/>
              </w:rPr>
              <w:t>i</w:t>
            </w:r>
            <w:hyperlink r:id="rId7" w:history="1">
              <w:r w:rsidRPr="00452E64">
                <w:rPr>
                  <w:rStyle w:val="a5"/>
                  <w:sz w:val="24"/>
                  <w:lang w:val="uk-UA"/>
                </w:rPr>
                <w:t>nbox@kz.vn.court.gov.ua</w:t>
              </w:r>
            </w:hyperlink>
            <w:r w:rsidRPr="00452E64">
              <w:rPr>
                <w:color w:val="000000"/>
                <w:sz w:val="24"/>
                <w:lang w:val="uk-UA"/>
              </w:rPr>
              <w:t xml:space="preserve">,  </w:t>
            </w:r>
          </w:p>
        </w:tc>
      </w:tr>
      <w:tr w:rsidR="00C33BB3" w:rsidRPr="00C33BB3" w:rsidTr="00617145">
        <w:trPr>
          <w:trHeight w:val="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C33BB3" w:rsidRPr="00C33BB3" w:rsidTr="00617145">
        <w:trPr>
          <w:trHeight w:val="45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ища освіта за освітнім ступенем не нижче бакалавра, молодшого бакалавра у галузі знань «Право»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C33BB3" w:rsidTr="00617145">
        <w:trPr>
          <w:trHeight w:val="48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ез вимог до досвіду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6C25F2" w:rsidTr="00617145">
        <w:trPr>
          <w:trHeight w:val="22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25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ільне володіння державною мовою</w:t>
            </w:r>
            <w:r w:rsid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(наявність Державного сертифіката про рівень володіння державною мовою або витяг з реєстру Державних сертифікатів про рівень володіння державною мовою) виданий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F4CA8" w:rsidRPr="00DF4CA8" w:rsidTr="00DF4CA8">
        <w:trPr>
          <w:trHeight w:val="25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6C25F2" w:rsidP="00DF4CA8">
            <w:pPr>
              <w:widowControl w:val="0"/>
              <w:spacing w:before="60" w:after="6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fldChar w:fldCharType="begin"/>
            </w:r>
            <w:r>
              <w:instrText xml:space="preserve"> HYPERLINK "http://search.ligazakon.ua/l_doc2.nsf/link1/KP170815.html" </w:instrText>
            </w:r>
            <w:r>
              <w:fldChar w:fldCharType="separate"/>
            </w:r>
            <w:r w:rsidR="00DF4CA8"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Вимоги до компетентності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end"/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40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tabs>
                <w:tab w:val="left" w:pos="2039"/>
              </w:tabs>
              <w:spacing w:before="60" w:after="60" w:line="240" w:lineRule="auto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F80F2D" w:rsidRDefault="00DF4CA8" w:rsidP="00DF4CA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систематизувати великий масив інформації</w:t>
            </w:r>
          </w:p>
          <w:p w:rsidR="00F80F2D" w:rsidRPr="00DF4CA8" w:rsidRDefault="00F80F2D" w:rsidP="00F80F2D">
            <w:pPr>
              <w:widowControl w:val="0"/>
              <w:tabs>
                <w:tab w:val="left" w:pos="271"/>
              </w:tabs>
              <w:spacing w:before="60" w:after="60" w:line="240" w:lineRule="auto"/>
              <w:ind w:left="72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Цифрова грамотність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F2D" w:rsidRPr="00F80F2D" w:rsidRDefault="00F80F2D" w:rsidP="00F80F2D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80F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DF4CA8" w:rsidRPr="00DF4CA8" w:rsidRDefault="00F80F2D" w:rsidP="00F80F2D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80F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</w:t>
            </w:r>
          </w:p>
          <w:p w:rsidR="00DF4CA8" w:rsidRPr="00DF4CA8" w:rsidRDefault="00DF4CA8" w:rsidP="00DF4CA8">
            <w:pPr>
              <w:widowControl w:val="0"/>
              <w:tabs>
                <w:tab w:val="left" w:pos="42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4"/>
              </w:numPr>
              <w:tabs>
                <w:tab w:val="left" w:pos="36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 важливості якісного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своїх посадових 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дотриманням строків та встановлених процедур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уміння розуміти та управляти своїми емоціями;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 до самоконтролю</w:t>
            </w:r>
          </w:p>
        </w:tc>
      </w:tr>
      <w:tr w:rsidR="00DF4CA8" w:rsidRPr="00DF4CA8" w:rsidTr="00DF4CA8">
        <w:trPr>
          <w:trHeight w:val="1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Конституції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державну службу»;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запобігання корупції»</w:t>
            </w:r>
          </w:p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іншого законодавства</w:t>
            </w:r>
          </w:p>
        </w:tc>
      </w:tr>
      <w:tr w:rsidR="00DF4CA8" w:rsidRPr="00DF4CA8" w:rsidTr="00DF4CA8">
        <w:trPr>
          <w:trHeight w:val="259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підрозділ)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Цивільного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адміністративного судочинства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Кримінального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України про адміністративні правопорушення;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судоустрій і статус суддів»;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Інструкції з діловодства в місцевих та апеляційних судах України, затвердженої наказом Державної судової адміністрації України від 20.08.2019 № 814;</w:t>
            </w:r>
          </w:p>
          <w:p w:rsid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Положення про автоматизовану систему документообігу суду, затвердженого рішенням Ради суддів України від 26.11.2010 № 30;</w:t>
            </w:r>
          </w:p>
          <w:p w:rsidR="005E5C5A" w:rsidRDefault="005E5C5A" w:rsidP="005E5C5A">
            <w:pPr>
              <w:pStyle w:val="a6"/>
              <w:widowControl w:val="0"/>
              <w:spacing w:before="60" w:beforeAutospacing="0" w:after="60" w:afterAutospacing="0"/>
              <w:ind w:left="57" w:right="57"/>
              <w:jc w:val="both"/>
            </w:pPr>
            <w:r>
              <w:rPr>
                <w:color w:val="000000"/>
              </w:rPr>
              <w:t>Інструкції про порядок роботи з технічними засобами фіксування судового засідання, затвердженої наказом ДСА України  від 20.09.2012 № 108;</w:t>
            </w:r>
          </w:p>
          <w:p w:rsidR="005E5C5A" w:rsidRPr="00DF4CA8" w:rsidRDefault="005E5C5A" w:rsidP="005E5C5A">
            <w:pPr>
              <w:pStyle w:val="a6"/>
              <w:widowControl w:val="0"/>
              <w:spacing w:before="60" w:beforeAutospacing="0" w:after="60" w:afterAutospacing="0"/>
              <w:ind w:left="57" w:right="57"/>
            </w:pPr>
            <w:r>
              <w:rPr>
                <w:color w:val="000000"/>
              </w:rPr>
              <w:t xml:space="preserve">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>
              <w:rPr>
                <w:color w:val="000000"/>
              </w:rPr>
              <w:t>відеоконференції</w:t>
            </w:r>
            <w:proofErr w:type="spellEnd"/>
            <w:r>
              <w:rPr>
                <w:color w:val="000000"/>
              </w:rPr>
              <w:t>, під час судового засідання (кримінального провадження), затвердженої наказом ДСА України  від 15.11.2012 № 155;</w:t>
            </w:r>
          </w:p>
          <w:p w:rsidR="00DF4CA8" w:rsidRPr="00DF4CA8" w:rsidRDefault="00DF4CA8" w:rsidP="00D35EE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ДСТУ 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4163:2020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Вим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оги до оформлювання документів.</w:t>
            </w:r>
          </w:p>
        </w:tc>
      </w:tr>
    </w:tbl>
    <w:p w:rsidR="00DF4CA8" w:rsidRPr="00DF4CA8" w:rsidRDefault="00DF4CA8" w:rsidP="00DF4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4C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 </w:t>
      </w: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tabs>
          <w:tab w:val="left" w:pos="4480"/>
          <w:tab w:val="left" w:pos="6285"/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Pr="00F731D0" w:rsidRDefault="00F731D0">
      <w:pPr>
        <w:rPr>
          <w:b/>
          <w:lang w:val="uk-UA"/>
        </w:rPr>
      </w:pPr>
    </w:p>
    <w:sectPr w:rsidR="00F731D0" w:rsidRPr="00F7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96"/>
    <w:multiLevelType w:val="multilevel"/>
    <w:tmpl w:val="8AC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6754"/>
    <w:multiLevelType w:val="multilevel"/>
    <w:tmpl w:val="78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367"/>
    <w:multiLevelType w:val="multilevel"/>
    <w:tmpl w:val="678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9232B"/>
    <w:multiLevelType w:val="multilevel"/>
    <w:tmpl w:val="ABF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13834"/>
    <w:multiLevelType w:val="multilevel"/>
    <w:tmpl w:val="D32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0"/>
    <w:rsid w:val="000142D1"/>
    <w:rsid w:val="00014C84"/>
    <w:rsid w:val="00021384"/>
    <w:rsid w:val="00021DB3"/>
    <w:rsid w:val="000419BC"/>
    <w:rsid w:val="00086758"/>
    <w:rsid w:val="000A47DE"/>
    <w:rsid w:val="000B3EA2"/>
    <w:rsid w:val="000E5DC8"/>
    <w:rsid w:val="0010506A"/>
    <w:rsid w:val="001249F8"/>
    <w:rsid w:val="0013457C"/>
    <w:rsid w:val="00136084"/>
    <w:rsid w:val="00142661"/>
    <w:rsid w:val="001A7FB0"/>
    <w:rsid w:val="00242397"/>
    <w:rsid w:val="00256489"/>
    <w:rsid w:val="002649C3"/>
    <w:rsid w:val="00272986"/>
    <w:rsid w:val="00280B20"/>
    <w:rsid w:val="00286B24"/>
    <w:rsid w:val="00291556"/>
    <w:rsid w:val="00310C8C"/>
    <w:rsid w:val="0033663C"/>
    <w:rsid w:val="00336925"/>
    <w:rsid w:val="0039166E"/>
    <w:rsid w:val="003945BD"/>
    <w:rsid w:val="003A110C"/>
    <w:rsid w:val="003C4ABA"/>
    <w:rsid w:val="003C65EE"/>
    <w:rsid w:val="003E08FD"/>
    <w:rsid w:val="0042221C"/>
    <w:rsid w:val="00426269"/>
    <w:rsid w:val="00450825"/>
    <w:rsid w:val="00454054"/>
    <w:rsid w:val="004644AA"/>
    <w:rsid w:val="00471381"/>
    <w:rsid w:val="00474B66"/>
    <w:rsid w:val="004922D9"/>
    <w:rsid w:val="004D3545"/>
    <w:rsid w:val="005568A6"/>
    <w:rsid w:val="005E5C5A"/>
    <w:rsid w:val="00617145"/>
    <w:rsid w:val="00634FF9"/>
    <w:rsid w:val="006374C2"/>
    <w:rsid w:val="00657F5C"/>
    <w:rsid w:val="00683A48"/>
    <w:rsid w:val="006C25F2"/>
    <w:rsid w:val="006E1732"/>
    <w:rsid w:val="007119A7"/>
    <w:rsid w:val="00746755"/>
    <w:rsid w:val="00764F74"/>
    <w:rsid w:val="007A5F7E"/>
    <w:rsid w:val="007E71AC"/>
    <w:rsid w:val="0082684D"/>
    <w:rsid w:val="00845046"/>
    <w:rsid w:val="00883C80"/>
    <w:rsid w:val="008A0C54"/>
    <w:rsid w:val="008D1FAD"/>
    <w:rsid w:val="00906BA8"/>
    <w:rsid w:val="00916192"/>
    <w:rsid w:val="00932A41"/>
    <w:rsid w:val="00962631"/>
    <w:rsid w:val="009D328E"/>
    <w:rsid w:val="009E0C38"/>
    <w:rsid w:val="00A8453B"/>
    <w:rsid w:val="00AC2A28"/>
    <w:rsid w:val="00AD4CC8"/>
    <w:rsid w:val="00AD6E8B"/>
    <w:rsid w:val="00AE6CCB"/>
    <w:rsid w:val="00B247B7"/>
    <w:rsid w:val="00B37633"/>
    <w:rsid w:val="00B40CDA"/>
    <w:rsid w:val="00B53225"/>
    <w:rsid w:val="00B75D7B"/>
    <w:rsid w:val="00B77899"/>
    <w:rsid w:val="00B86970"/>
    <w:rsid w:val="00BD6C55"/>
    <w:rsid w:val="00BE4E7D"/>
    <w:rsid w:val="00BF0327"/>
    <w:rsid w:val="00C33BB3"/>
    <w:rsid w:val="00C62119"/>
    <w:rsid w:val="00C661C2"/>
    <w:rsid w:val="00C75E7A"/>
    <w:rsid w:val="00D034DF"/>
    <w:rsid w:val="00D27105"/>
    <w:rsid w:val="00D35EE3"/>
    <w:rsid w:val="00D55644"/>
    <w:rsid w:val="00D949E6"/>
    <w:rsid w:val="00DF4CA8"/>
    <w:rsid w:val="00E45158"/>
    <w:rsid w:val="00E55F29"/>
    <w:rsid w:val="00E6288F"/>
    <w:rsid w:val="00E72E60"/>
    <w:rsid w:val="00EA2CA0"/>
    <w:rsid w:val="00EA50E0"/>
    <w:rsid w:val="00EC79A6"/>
    <w:rsid w:val="00EE45EC"/>
    <w:rsid w:val="00F4428D"/>
    <w:rsid w:val="00F60359"/>
    <w:rsid w:val="00F731D0"/>
    <w:rsid w:val="00F80F2D"/>
    <w:rsid w:val="00F869B8"/>
    <w:rsid w:val="00FC3009"/>
    <w:rsid w:val="00FC360B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45EC"/>
    <w:rPr>
      <w:color w:val="0000FF"/>
      <w:u w:val="single"/>
    </w:rPr>
  </w:style>
  <w:style w:type="character" w:customStyle="1" w:styleId="docdata">
    <w:name w:val="docdata"/>
    <w:aliases w:val="docy,v5,2601,baiaagaaboqcaaad+auaaaugbgaaaaaaaaaaaaaaaaaaaaaaaaaaaaaaaaaaaaaaaaaaaaaaaaaaaaaaaaaaaaaaaaaaaaaaaaaaaaaaaaaaaaaaaaaaaaaaaaaaaaaaaaaaaaaaaaaaaaaaaaaaaaaaaaaaaaaaaaaaaaaaaaaaaaaaaaaaaaaaaaaaaaaaaaaaaaaaaaaaaaaaaaaaaaaaaaaaaaaaaaaaaaaa"/>
    <w:basedOn w:val="a0"/>
    <w:rsid w:val="003E08FD"/>
  </w:style>
  <w:style w:type="paragraph" w:customStyle="1" w:styleId="6167">
    <w:name w:val="6167"/>
    <w:aliases w:val="baiaagaaboqcaaad/hmaaaumfaaaaaaaaaaaaaaaaaaaaaaaaaaaaaaaaaaaaaaaaaaaaaaaaaaaaaaaaaaaaaaaaaaaaaaaaaaaaaaaaaaaaaaaaaaaaaaaaaaaaaaaaaaaaaaaaaaaaaaaaaaaaaaaaaaaaaaaaaaaaaaaaaaaaaaaaaaaaaaaaaaaaaaaaaaaaaaaaaaaaaaaaaaaaaaaaaaaaaaaaaaaaaaa"/>
    <w:basedOn w:val="a"/>
    <w:rsid w:val="009D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9D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52">
    <w:name w:val="3152"/>
    <w:aliases w:val="baiaagaaboqcaaadnwgaaavfcaaaaaaaaaaaaaaaaaaaaaaaaaaaaaaaaaaaaaaaaaaaaaaaaaaaaaaaaaaaaaaaaaaaaaaaaaaaaaaaaaaaaaaaaaaaaaaaaaaaaaaaaaaaaaaaaaaaaaaaaaaaaaaaaaaaaaaaaaaaaaaaaaaaaaaaaaaaaaaaaaaaaaaaaaaaaaaaaaaaaaaaaaaaaaaaaaaaaaaaaaaaaaaa"/>
    <w:basedOn w:val="a"/>
    <w:rsid w:val="005E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box@kz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0145-EC42-4B60-975E-695770EE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5</Pages>
  <Words>5834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Лукова</dc:creator>
  <cp:keywords/>
  <dc:description/>
  <cp:lastModifiedBy>user</cp:lastModifiedBy>
  <cp:revision>86</cp:revision>
  <cp:lastPrinted>2021-09-29T07:47:00Z</cp:lastPrinted>
  <dcterms:created xsi:type="dcterms:W3CDTF">2017-01-25T12:19:00Z</dcterms:created>
  <dcterms:modified xsi:type="dcterms:W3CDTF">2021-09-29T08:09:00Z</dcterms:modified>
</cp:coreProperties>
</file>